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2A6E" w14:textId="42818B53" w:rsidR="00B25FA1" w:rsidRPr="00B25FA1" w:rsidRDefault="0000775E" w:rsidP="00B25FA1">
      <w:pPr>
        <w:widowControl/>
        <w:jc w:val="center"/>
        <w:outlineLvl w:val="1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 wp14:anchorId="67AAABCF" wp14:editId="509CFD1F">
            <wp:extent cx="542925" cy="523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FA1"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Recent Publications</w:t>
      </w:r>
    </w:p>
    <w:p w14:paraId="533D7DE0" w14:textId="2AA22042" w:rsidR="00B25FA1" w:rsidRDefault="00B25FA1" w:rsidP="00C1573B">
      <w:pPr>
        <w:widowControl/>
        <w:ind w:firstLine="372"/>
        <w:jc w:val="left"/>
        <w:outlineLvl w:val="2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 w:rsidR="00C1573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9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Year</w:t>
      </w:r>
    </w:p>
    <w:p w14:paraId="3F0B2BF5" w14:textId="77777777" w:rsidR="00C1573B" w:rsidRPr="00B25FA1" w:rsidRDefault="00C1573B" w:rsidP="00C1573B">
      <w:pPr>
        <w:widowControl/>
        <w:ind w:firstLine="372"/>
        <w:jc w:val="left"/>
        <w:outlineLvl w:val="2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14:paraId="620AF7A9" w14:textId="77777777" w:rsidR="00B25FA1" w:rsidRPr="00B25FA1" w:rsidRDefault="00B25FA1" w:rsidP="00B25FA1">
      <w:pPr>
        <w:widowControl/>
        <w:spacing w:after="1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Qinmin</w:t>
      </w:r>
      <w:r w:rsidRPr="0022374B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g</w:t>
      </w:r>
      <w:proofErr w:type="spellEnd"/>
      <w:r w:rsidRPr="0022374B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 xml:space="preserve"> Wu,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Xiangju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Meng,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Xionghou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Gao,  Feng-Shou Xiao Solvent-Free Synthesis of Zeolites: Mechanism and Utility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 Acc. Chem. Res.</w:t>
      </w:r>
      <w:r w:rsidRPr="00B25FA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51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1396-1403.</w:t>
      </w:r>
    </w:p>
    <w:p w14:paraId="59CBF485" w14:textId="77777777" w:rsidR="00B25FA1" w:rsidRPr="00B25FA1" w:rsidRDefault="00B25FA1" w:rsidP="00B25FA1">
      <w:pPr>
        <w:widowControl/>
        <w:spacing w:after="1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Jian Zhang, L</w:t>
      </w:r>
      <w:r w:rsidRPr="008A3FBD">
        <w:rPr>
          <w:rFonts w:ascii="黑体" w:eastAsia="黑体" w:hAnsi="黑体" w:cs="Arial"/>
          <w:color w:val="000000"/>
          <w:kern w:val="0"/>
          <w:sz w:val="52"/>
          <w:szCs w:val="52"/>
        </w:rPr>
        <w:t>iang Wa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Bingsen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Zhang,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Haishuang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Zhao, Ute  Kolb, Yihan Zhu,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Lingmei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Liu, Yu Han,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Guoxiong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Chengtao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Wang, Dang Sheng  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Su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Bruce C. Gates &amp; Feng-Shou Xiao Sinter-resistant metal nanoparticle  catalysts achieved by immobilization within zeolite crystals via seed-directed  growth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Nature Catal.</w:t>
      </w:r>
      <w:r w:rsidRPr="00B25FA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1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540-546.</w:t>
      </w:r>
    </w:p>
    <w:p w14:paraId="00708243" w14:textId="77777777" w:rsidR="00B25FA1" w:rsidRPr="00B25FA1" w:rsidRDefault="00B25FA1" w:rsidP="00B25FA1">
      <w:pPr>
        <w:widowControl/>
        <w:spacing w:after="1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Liang Wang,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Erjia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Guan, Jian Zhang,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Junhao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Yang, Yihan Zhu,  Yu Han, Ming Yang, Cheng Cen, Gang Fu, Bruce C. Gates, Feng-Shou Xiao Single-site  catalyst promoters accelerate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metalcatalyzed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nitroarene hydrogenation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Nature Commun.</w:t>
      </w:r>
      <w:r w:rsidRPr="00B25FA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9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1362.</w:t>
      </w:r>
    </w:p>
    <w:p w14:paraId="7742060D" w14:textId="77777777" w:rsidR="00B25FA1" w:rsidRPr="00B25FA1" w:rsidRDefault="00B25FA1" w:rsidP="00B25FA1">
      <w:pPr>
        <w:widowControl/>
        <w:spacing w:after="1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Qi Sun, Sai Wang, Briana Aguila,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Xiangju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Meng,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Shengqian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Ma,  Feng-Shou Xiao Creating solvation environments in heterogeneous catalysts for  efficient biomass conversion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Nature  Commun.</w:t>
      </w:r>
      <w:r w:rsidRPr="00B25FA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9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3236.</w:t>
      </w:r>
    </w:p>
    <w:p w14:paraId="3AEF0607" w14:textId="77777777" w:rsidR="00B25FA1" w:rsidRPr="00B25FA1" w:rsidRDefault="00B25FA1" w:rsidP="00B25FA1">
      <w:pPr>
        <w:widowControl/>
        <w:spacing w:after="1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Liang Wang,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Shaodan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Xu,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Shenxian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He, Feng-Shou Xiao Rational  construction of metal nanoparticles fixed in zeolite crystals as highly  efficient heterogeneous catalysts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Nano  Today</w:t>
      </w:r>
      <w:r w:rsidRPr="00B25FA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20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74-83.</w:t>
      </w:r>
    </w:p>
    <w:p w14:paraId="7EC70FBC" w14:textId="77777777" w:rsidR="00B25FA1" w:rsidRPr="00B25FA1" w:rsidRDefault="00B25FA1" w:rsidP="00B25FA1">
      <w:pPr>
        <w:widowControl/>
        <w:spacing w:after="1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Lingxiang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Wang, Liang Wang,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Xiaolong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Liu, Hai Wang, Wei  Zhang, Qi Yang,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Jingyuan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Ma,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Xue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Dong, Seung Jo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Yoo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Jin-Gyu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Kim,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Xiangju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Meng,  and Feng-Shou Xiao Selective hydrogenation of CO2 into ethanol over  cobalt catalysts </w:t>
      </w:r>
      <w:proofErr w:type="spellStart"/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Angew</w:t>
      </w:r>
      <w:proofErr w:type="spellEnd"/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. Chem. Int. Ed.</w:t>
      </w:r>
      <w:r w:rsidRPr="00B25FA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57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6104-6108.</w:t>
      </w:r>
    </w:p>
    <w:p w14:paraId="35B38D4B" w14:textId="77777777" w:rsidR="00B25FA1" w:rsidRPr="00B25FA1" w:rsidRDefault="00B25FA1" w:rsidP="00B25FA1">
      <w:pPr>
        <w:widowControl/>
        <w:spacing w:after="1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Hai Wang, Liang Wang,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Shenxian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He, Feng-Shou Xiao Enhancement  of Catalytic Properties by Adjusting Molecular Diffusion in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Nanoporous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 Catalysts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Adv. Catal.</w:t>
      </w:r>
      <w:r w:rsidRPr="00B25FA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62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1-47.</w:t>
      </w:r>
    </w:p>
    <w:p w14:paraId="44404299" w14:textId="77777777" w:rsidR="00B25FA1" w:rsidRPr="00B25FA1" w:rsidRDefault="00B25FA1" w:rsidP="00B25FA1">
      <w:pPr>
        <w:widowControl/>
        <w:spacing w:after="1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Zhu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Jin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, Liang Wang,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Qingxun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Hu, Ling Zhang,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Shaodan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Xu,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Xue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 Dong,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Runyuan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Ma,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Xiangju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Meng, Feng-Shou Xiao, Hydrophobic Zeolite Containing  Titania Particles as Wettability-Selective Catalyst for Formaldehyde Removal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ACS Catal</w:t>
      </w:r>
      <w:r w:rsidRPr="00B25FA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5250-5254.</w:t>
      </w:r>
    </w:p>
    <w:p w14:paraId="7047C4F1" w14:textId="77777777" w:rsidR="00B25FA1" w:rsidRPr="00B25FA1" w:rsidRDefault="00B25FA1" w:rsidP="00B25FA1">
      <w:pPr>
        <w:widowControl/>
        <w:spacing w:after="1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Chengtao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Zhiqiang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Liu, Liang Wang,  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Xue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Dong, Jian Zhang,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Guoxiong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Wang,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Shichao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Han,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Xiangju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Meng,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Anmin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Zheng,  and Feng-Shou Xiao Importance of Zeolite Wettability for Selective  Hydrogenation of Furfural over </w:t>
      </w:r>
      <w:proofErr w:type="spellStart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Pd@Zeolite</w:t>
      </w:r>
      <w:proofErr w:type="spellEnd"/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Catalysts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ACS Catal</w:t>
      </w:r>
      <w:r w:rsidRPr="00B25FA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B25FA1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8</w:t>
      </w:r>
      <w:r w:rsidRPr="00B25FA1">
        <w:rPr>
          <w:rFonts w:ascii="Arial" w:eastAsia="宋体" w:hAnsi="Arial" w:cs="Arial"/>
          <w:color w:val="000000"/>
          <w:kern w:val="0"/>
          <w:sz w:val="24"/>
          <w:szCs w:val="24"/>
        </w:rPr>
        <w:t>, 474-481.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02439E" w14:paraId="575EB419" w14:textId="77777777" w:rsidTr="0002439E">
        <w:tc>
          <w:tcPr>
            <w:tcW w:w="1037" w:type="dxa"/>
          </w:tcPr>
          <w:p w14:paraId="35E5ED10" w14:textId="363B4CF7" w:rsidR="0002439E" w:rsidRDefault="0002439E" w:rsidP="00B25FA1">
            <w:pPr>
              <w:widowControl/>
              <w:spacing w:after="150"/>
              <w:jc w:val="left"/>
            </w:pPr>
            <w:r>
              <w:rPr>
                <w:rFonts w:hint="eastAsia"/>
              </w:rPr>
              <w:lastRenderedPageBreak/>
              <w:t>123</w:t>
            </w:r>
          </w:p>
        </w:tc>
        <w:tc>
          <w:tcPr>
            <w:tcW w:w="1037" w:type="dxa"/>
          </w:tcPr>
          <w:p w14:paraId="50C44817" w14:textId="605913E0" w:rsidR="0002439E" w:rsidRDefault="0002439E" w:rsidP="00B25FA1">
            <w:pPr>
              <w:widowControl/>
              <w:spacing w:after="150"/>
              <w:jc w:val="left"/>
            </w:pPr>
            <w:r>
              <w:rPr>
                <w:rFonts w:hint="eastAsia"/>
              </w:rPr>
              <w:t>1231</w:t>
            </w:r>
          </w:p>
        </w:tc>
        <w:tc>
          <w:tcPr>
            <w:tcW w:w="1037" w:type="dxa"/>
          </w:tcPr>
          <w:p w14:paraId="150E8CEC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6A410928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5C09320D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67D1F37D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7C76E949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78E07E6A" w14:textId="77777777" w:rsidR="0002439E" w:rsidRDefault="0002439E" w:rsidP="00B25FA1">
            <w:pPr>
              <w:widowControl/>
              <w:spacing w:after="150"/>
              <w:jc w:val="left"/>
            </w:pPr>
          </w:p>
        </w:tc>
      </w:tr>
      <w:tr w:rsidR="0002439E" w14:paraId="3FFF63CE" w14:textId="77777777" w:rsidTr="0002439E">
        <w:tc>
          <w:tcPr>
            <w:tcW w:w="1037" w:type="dxa"/>
          </w:tcPr>
          <w:p w14:paraId="67300C34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39512106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786CBFDD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7F097592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28F05EA6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286BBC7B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482A7AAC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20B0F6F9" w14:textId="77777777" w:rsidR="0002439E" w:rsidRDefault="0002439E" w:rsidP="00B25FA1">
            <w:pPr>
              <w:widowControl/>
              <w:spacing w:after="150"/>
              <w:jc w:val="left"/>
            </w:pPr>
          </w:p>
        </w:tc>
      </w:tr>
      <w:tr w:rsidR="0002439E" w14:paraId="4C7FDA31" w14:textId="77777777" w:rsidTr="0002439E">
        <w:tc>
          <w:tcPr>
            <w:tcW w:w="1037" w:type="dxa"/>
          </w:tcPr>
          <w:p w14:paraId="43A4BC43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21D73BCB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  <w:vMerge w:val="restart"/>
          </w:tcPr>
          <w:p w14:paraId="591DB256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634F740B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7A23ABED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  <w:vMerge w:val="restart"/>
          </w:tcPr>
          <w:p w14:paraId="45878C72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7C23DA3C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0678346C" w14:textId="77777777" w:rsidR="0002439E" w:rsidRDefault="0002439E" w:rsidP="00B25FA1">
            <w:pPr>
              <w:widowControl/>
              <w:spacing w:after="150"/>
              <w:jc w:val="left"/>
            </w:pPr>
          </w:p>
        </w:tc>
      </w:tr>
      <w:tr w:rsidR="0002439E" w14:paraId="70A4B78D" w14:textId="77777777" w:rsidTr="0002439E">
        <w:tc>
          <w:tcPr>
            <w:tcW w:w="1037" w:type="dxa"/>
          </w:tcPr>
          <w:p w14:paraId="5FE2642A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0B297B59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  <w:vMerge/>
          </w:tcPr>
          <w:p w14:paraId="516DC1E0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7AB37F38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5324872C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  <w:vMerge/>
          </w:tcPr>
          <w:p w14:paraId="3B627854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4BAF0415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143C841B" w14:textId="77777777" w:rsidR="0002439E" w:rsidRDefault="0002439E" w:rsidP="00B25FA1">
            <w:pPr>
              <w:widowControl/>
              <w:spacing w:after="150"/>
              <w:jc w:val="left"/>
            </w:pPr>
          </w:p>
        </w:tc>
      </w:tr>
      <w:tr w:rsidR="0002439E" w14:paraId="26F52B80" w14:textId="77777777" w:rsidTr="0002439E">
        <w:tc>
          <w:tcPr>
            <w:tcW w:w="1037" w:type="dxa"/>
          </w:tcPr>
          <w:p w14:paraId="7A22A1D1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1DA6CA09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22A17F88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28A64A17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0E752B5A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  <w:vMerge/>
          </w:tcPr>
          <w:p w14:paraId="400CCAC0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45CB0449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18704AE0" w14:textId="77777777" w:rsidR="0002439E" w:rsidRDefault="0002439E" w:rsidP="00B25FA1">
            <w:pPr>
              <w:widowControl/>
              <w:spacing w:after="150"/>
              <w:jc w:val="left"/>
            </w:pPr>
          </w:p>
        </w:tc>
      </w:tr>
      <w:tr w:rsidR="0002439E" w14:paraId="4AFD4299" w14:textId="77777777" w:rsidTr="0002439E">
        <w:tc>
          <w:tcPr>
            <w:tcW w:w="1037" w:type="dxa"/>
          </w:tcPr>
          <w:p w14:paraId="269282DA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5DB2A542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297ABA6E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644EE58D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41C93906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  <w:vMerge/>
          </w:tcPr>
          <w:p w14:paraId="5F9D7D1C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37D58486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1549CAFF" w14:textId="77777777" w:rsidR="0002439E" w:rsidRDefault="0002439E" w:rsidP="00B25FA1">
            <w:pPr>
              <w:widowControl/>
              <w:spacing w:after="150"/>
              <w:jc w:val="left"/>
            </w:pPr>
          </w:p>
        </w:tc>
      </w:tr>
      <w:tr w:rsidR="0002439E" w14:paraId="2D1EA6A4" w14:textId="77777777" w:rsidTr="0002439E">
        <w:tc>
          <w:tcPr>
            <w:tcW w:w="1037" w:type="dxa"/>
          </w:tcPr>
          <w:p w14:paraId="70F0B6A1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5D9B3087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25A19691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431A0541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58485A84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6AC553DD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2F2F444A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435BA03A" w14:textId="77777777" w:rsidR="0002439E" w:rsidRDefault="0002439E" w:rsidP="00B25FA1">
            <w:pPr>
              <w:widowControl/>
              <w:spacing w:after="150"/>
              <w:jc w:val="left"/>
            </w:pPr>
          </w:p>
        </w:tc>
      </w:tr>
      <w:tr w:rsidR="0002439E" w14:paraId="5AB0E98C" w14:textId="77777777" w:rsidTr="0002439E">
        <w:tc>
          <w:tcPr>
            <w:tcW w:w="1037" w:type="dxa"/>
          </w:tcPr>
          <w:p w14:paraId="0BEBA5B1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6A402F0C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3B59BE98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7CF1A1E2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5CDC650B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0E1D4046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133778C7" w14:textId="77777777" w:rsidR="0002439E" w:rsidRDefault="0002439E" w:rsidP="00B25FA1">
            <w:pPr>
              <w:widowControl/>
              <w:spacing w:after="150"/>
              <w:jc w:val="left"/>
            </w:pPr>
          </w:p>
        </w:tc>
        <w:tc>
          <w:tcPr>
            <w:tcW w:w="1037" w:type="dxa"/>
          </w:tcPr>
          <w:p w14:paraId="52211860" w14:textId="77777777" w:rsidR="0002439E" w:rsidRDefault="0002439E" w:rsidP="00B25FA1">
            <w:pPr>
              <w:widowControl/>
              <w:spacing w:after="150"/>
              <w:jc w:val="left"/>
            </w:pPr>
          </w:p>
        </w:tc>
      </w:tr>
    </w:tbl>
    <w:p w14:paraId="32AA22CD" w14:textId="6B615EB2" w:rsidR="00D5401E" w:rsidRPr="00B25FA1" w:rsidRDefault="00D5401E" w:rsidP="00B25FA1">
      <w:pPr>
        <w:widowControl/>
        <w:spacing w:after="150"/>
        <w:jc w:val="left"/>
      </w:pPr>
    </w:p>
    <w:sectPr w:rsidR="00D5401E" w:rsidRPr="00B2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8F72" w14:textId="77777777" w:rsidR="009D2B18" w:rsidRDefault="009D2B18" w:rsidP="0022374B">
      <w:r>
        <w:separator/>
      </w:r>
    </w:p>
  </w:endnote>
  <w:endnote w:type="continuationSeparator" w:id="0">
    <w:p w14:paraId="0114DD30" w14:textId="77777777" w:rsidR="009D2B18" w:rsidRDefault="009D2B18" w:rsidP="0022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9CB0" w14:textId="77777777" w:rsidR="009D2B18" w:rsidRDefault="009D2B18" w:rsidP="0022374B">
      <w:r>
        <w:separator/>
      </w:r>
    </w:p>
  </w:footnote>
  <w:footnote w:type="continuationSeparator" w:id="0">
    <w:p w14:paraId="6EF4F327" w14:textId="77777777" w:rsidR="009D2B18" w:rsidRDefault="009D2B18" w:rsidP="0022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0F6A"/>
    <w:multiLevelType w:val="multilevel"/>
    <w:tmpl w:val="2D80FB20"/>
    <w:lvl w:ilvl="0">
      <w:start w:val="4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EE"/>
    <w:rsid w:val="0000775E"/>
    <w:rsid w:val="0002439E"/>
    <w:rsid w:val="00052DEE"/>
    <w:rsid w:val="00086DA1"/>
    <w:rsid w:val="0022374B"/>
    <w:rsid w:val="002F547B"/>
    <w:rsid w:val="00560E8F"/>
    <w:rsid w:val="008A3FBD"/>
    <w:rsid w:val="009D2B18"/>
    <w:rsid w:val="00B25FA1"/>
    <w:rsid w:val="00C1573B"/>
    <w:rsid w:val="00D5401E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CECEA"/>
  <w15:chartTrackingRefBased/>
  <w15:docId w15:val="{345FF676-7EB5-44A3-9DA2-AFAD8FF5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5F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5F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2F547B"/>
  </w:style>
  <w:style w:type="character" w:customStyle="1" w:styleId="bjh-strong">
    <w:name w:val="bjh-strong"/>
    <w:basedOn w:val="a0"/>
    <w:rsid w:val="002F547B"/>
  </w:style>
  <w:style w:type="character" w:customStyle="1" w:styleId="20">
    <w:name w:val="标题 2 字符"/>
    <w:basedOn w:val="a0"/>
    <w:link w:val="2"/>
    <w:uiPriority w:val="9"/>
    <w:rsid w:val="00B25F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B25FA1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Emphasis"/>
    <w:basedOn w:val="a0"/>
    <w:uiPriority w:val="20"/>
    <w:qFormat/>
    <w:rsid w:val="00B25FA1"/>
    <w:rPr>
      <w:i/>
      <w:iCs/>
    </w:rPr>
  </w:style>
  <w:style w:type="character" w:styleId="a5">
    <w:name w:val="Strong"/>
    <w:basedOn w:val="a0"/>
    <w:uiPriority w:val="22"/>
    <w:qFormat/>
    <w:rsid w:val="00B25FA1"/>
    <w:rPr>
      <w:b/>
      <w:bCs/>
    </w:rPr>
  </w:style>
  <w:style w:type="paragraph" w:styleId="a6">
    <w:name w:val="header"/>
    <w:basedOn w:val="a"/>
    <w:link w:val="a7"/>
    <w:uiPriority w:val="99"/>
    <w:unhideWhenUsed/>
    <w:rsid w:val="0022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374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374B"/>
    <w:rPr>
      <w:sz w:val="18"/>
      <w:szCs w:val="18"/>
    </w:rPr>
  </w:style>
  <w:style w:type="table" w:styleId="aa">
    <w:name w:val="Table Grid"/>
    <w:basedOn w:val="a1"/>
    <w:uiPriority w:val="39"/>
    <w:rsid w:val="0002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46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8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铭</dc:creator>
  <cp:keywords/>
  <dc:description/>
  <cp:lastModifiedBy>王 铭</cp:lastModifiedBy>
  <cp:revision>8</cp:revision>
  <dcterms:created xsi:type="dcterms:W3CDTF">2020-07-02T05:57:00Z</dcterms:created>
  <dcterms:modified xsi:type="dcterms:W3CDTF">2021-03-11T01:46:00Z</dcterms:modified>
</cp:coreProperties>
</file>